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B4137" w14:textId="521E82D8" w:rsidR="001B0D52" w:rsidRDefault="002B5A9C" w:rsidP="002B5A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Low Incidence Classroom Placement Considerations and Guidelines</w:t>
      </w:r>
      <w:r w:rsidR="003055BB">
        <w:rPr>
          <w:rFonts w:ascii="Times New Roman" w:hAnsi="Times New Roman" w:cs="Times New Roman"/>
          <w:b/>
          <w:bCs/>
          <w:sz w:val="24"/>
          <w:szCs w:val="24"/>
        </w:rPr>
        <w:t xml:space="preserve"> (2/15)</w:t>
      </w:r>
    </w:p>
    <w:p w14:paraId="29A1A0D0" w14:textId="10378F8E" w:rsidR="002B5A9C" w:rsidRDefault="002B5A9C" w:rsidP="002B5A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Characteristics</w:t>
      </w:r>
    </w:p>
    <w:p w14:paraId="3E8AF674" w14:textId="14F4623D" w:rsidR="002B5A9C" w:rsidRDefault="002B5A9C" w:rsidP="002B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aged students that have been identified </w:t>
      </w:r>
      <w:r w:rsidR="003055B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having an impairment in cognitive functioning as per classifications given in the DSM V (specifically, an IQ of 60 or below).  Along with severe impairment of adaptive functioning in </w:t>
      </w:r>
      <w:r>
        <w:rPr>
          <w:rFonts w:ascii="Times New Roman" w:hAnsi="Times New Roman" w:cs="Times New Roman"/>
          <w:b/>
          <w:bCs/>
          <w:sz w:val="24"/>
          <w:szCs w:val="24"/>
        </w:rPr>
        <w:t>four out of fi</w:t>
      </w:r>
      <w:r w:rsidR="003055BB">
        <w:rPr>
          <w:rFonts w:ascii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following areas </w:t>
      </w:r>
      <w:r>
        <w:rPr>
          <w:rFonts w:ascii="Times New Roman" w:hAnsi="Times New Roman" w:cs="Times New Roman"/>
          <w:sz w:val="24"/>
          <w:szCs w:val="24"/>
        </w:rPr>
        <w:t>based on a standardized adaptive behavior scales (recommended form ABAS but others could be used):</w:t>
      </w:r>
    </w:p>
    <w:p w14:paraId="233E2286" w14:textId="072C2637" w:rsidR="002B5A9C" w:rsidRDefault="002B5A9C" w:rsidP="002B5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Help/Daily Living</w:t>
      </w:r>
    </w:p>
    <w:p w14:paraId="43C2AF59" w14:textId="780310E0" w:rsidR="002B5A9C" w:rsidRDefault="002B5A9C" w:rsidP="002B5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</w:t>
      </w:r>
    </w:p>
    <w:p w14:paraId="28AB4734" w14:textId="216B652E" w:rsidR="002B5A9C" w:rsidRDefault="002B5A9C" w:rsidP="002B5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Gross/Fine Motor</w:t>
      </w:r>
    </w:p>
    <w:p w14:paraId="301561C4" w14:textId="7C18050F" w:rsidR="002B5A9C" w:rsidRDefault="002B5A9C" w:rsidP="002B5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Social/Emotional</w:t>
      </w:r>
    </w:p>
    <w:p w14:paraId="408718AB" w14:textId="7CA9A96E" w:rsidR="002B5A9C" w:rsidRDefault="002B5A9C" w:rsidP="002B5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 Academics</w:t>
      </w:r>
    </w:p>
    <w:p w14:paraId="4DC94DB0" w14:textId="3EB62AAF" w:rsidR="002B5A9C" w:rsidRDefault="002B5A9C" w:rsidP="002B5A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905BEE" w14:textId="3BCAB0D7" w:rsidR="002B5A9C" w:rsidRDefault="002B5A9C" w:rsidP="002B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group of students will require life-long supports.  They may be unsafe or unable to manage their daily activities without significant assistance from others.</w:t>
      </w:r>
    </w:p>
    <w:p w14:paraId="69EEFCFF" w14:textId="2C98D4DC" w:rsidR="002B5A9C" w:rsidRDefault="002B5A9C" w:rsidP="002B5A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Due Process Procedures</w:t>
      </w:r>
    </w:p>
    <w:p w14:paraId="7E2AD0F6" w14:textId="2C1FC2A6" w:rsidR="002B5A9C" w:rsidRDefault="002B5A9C" w:rsidP="002B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documentation gathered on the student to determine their placement in the low incidence program is required prior to the student beginning the program.  These documents are (</w:t>
      </w:r>
      <w:r w:rsidR="003055BB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not limited to) any formal/informal testing results and documentation regarding previous placement as to why placement(s) failed including classroom strategies – work modifications, accommodations, additional support, etc.</w:t>
      </w:r>
    </w:p>
    <w:p w14:paraId="58BFB104" w14:textId="3A867779" w:rsidR="002B5A9C" w:rsidRDefault="002B5A9C" w:rsidP="002B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pre</w:t>
      </w:r>
      <w:r w:rsidR="003055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placement meeting to review testing, placement options, discuss history, etc.</w:t>
      </w:r>
    </w:p>
    <w:p w14:paraId="130586D7" w14:textId="01A64370" w:rsidR="002B5A9C" w:rsidRDefault="002B5A9C" w:rsidP="002B5A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 IEP will be written in collaboration with the receiving teacher.  Completion of all paperwork is the </w:t>
      </w:r>
      <w:r>
        <w:rPr>
          <w:rFonts w:ascii="Times New Roman" w:hAnsi="Times New Roman" w:cs="Times New Roman"/>
          <w:sz w:val="24"/>
          <w:szCs w:val="24"/>
          <w:u w:val="single"/>
        </w:rPr>
        <w:t>responsibility of the sending school IEP team.</w:t>
      </w:r>
    </w:p>
    <w:p w14:paraId="6275DDCD" w14:textId="6E490C63" w:rsidR="002B5A9C" w:rsidRDefault="002B5A9C" w:rsidP="002B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student will start without all documentation, including health care plans and support services hired.</w:t>
      </w:r>
    </w:p>
    <w:p w14:paraId="036D20F0" w14:textId="4597D0E4" w:rsidR="002B5A9C" w:rsidRDefault="002B5A9C" w:rsidP="002B5A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Process</w:t>
      </w:r>
    </w:p>
    <w:p w14:paraId="6C358C1F" w14:textId="2C984E70" w:rsidR="002B5A9C" w:rsidRDefault="002B5A9C" w:rsidP="002B5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refer a student for placement in a Low Incidence classroom, the building coordinator must be contacted.</w:t>
      </w:r>
    </w:p>
    <w:p w14:paraId="6A05F095" w14:textId="64BF8177" w:rsidR="002B5A9C" w:rsidRDefault="002B5A9C" w:rsidP="002B5A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</w:t>
      </w:r>
    </w:p>
    <w:p w14:paraId="21D69EE1" w14:textId="181641DC" w:rsidR="002B5A9C" w:rsidRDefault="002B5A9C" w:rsidP="002B5A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Students in Low Incidence Special Education Programs participate in alternative curriculum developed to address educational and functional needs.</w:t>
      </w:r>
    </w:p>
    <w:p w14:paraId="28E95A75" w14:textId="6AB600AC" w:rsidR="002B5A9C" w:rsidRDefault="002B5A9C" w:rsidP="002B5A9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work on pre-academic skills, Common Core Essentials Elements and Functional Skills curriculum.</w:t>
      </w:r>
    </w:p>
    <w:p w14:paraId="6344C051" w14:textId="391B50BE" w:rsidR="002B5A9C" w:rsidRDefault="002B5A9C" w:rsidP="002B5A9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Functional Academics:  Skills, which represent an application of an academic skill (e.g., reading, writing, math) to a real</w:t>
      </w:r>
      <w:r w:rsidR="00397F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life situation at home, on the job, or in the community.  This includes skills such as handling money, telling time, reading sigh</w:t>
      </w:r>
      <w:r w:rsidR="008669D8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words, etc.</w:t>
      </w:r>
    </w:p>
    <w:p w14:paraId="5915C288" w14:textId="64141785" w:rsidR="002B5A9C" w:rsidRDefault="00397FCD" w:rsidP="002B5A9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Maintenance:  Skills that are necessary to care for oneself, including eating, grooming, dressing, toileting and health care.</w:t>
      </w:r>
    </w:p>
    <w:p w14:paraId="71D74386" w14:textId="22EEE3C2" w:rsidR="00397FCD" w:rsidRDefault="00397FCD" w:rsidP="002B5A9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Maintenance:  Skills that are necessary to participate in home life in the community.  This includes skill areas associated with food preparation, shopping, cleaning, laundry, etc.</w:t>
      </w:r>
    </w:p>
    <w:p w14:paraId="41A455AE" w14:textId="6B85FAFB" w:rsidR="00397FCD" w:rsidRDefault="00397FCD" w:rsidP="002B5A9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Interpersonal Communication and social Skills:  Skills that are necessary to communicate and interact with others.  This includes skills required to respond to others, follow directions, indicate preferences, communicate, etc.</w:t>
      </w:r>
    </w:p>
    <w:p w14:paraId="0DFA58FC" w14:textId="65083292" w:rsidR="00397FCD" w:rsidRDefault="00397FCD" w:rsidP="002B5A9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3055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Vocationa</w:t>
      </w:r>
      <w:r w:rsidR="003055B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/Vocational:  Skills that are necessary to secure and maintain a job.  This includes skills involved in specific jobs (e.g., office and clerical skills, restaurant and kitchen skills, etc.) as well as work habits and job-related behavior.</w:t>
      </w:r>
    </w:p>
    <w:p w14:paraId="3D10A3DE" w14:textId="20FB0317" w:rsidR="00397FCD" w:rsidRDefault="00397FCD" w:rsidP="002B5A9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and Leisure:  Skills that are used to engage in free time activities for pleasure.  This includes such areas as individual sports, travel, spectator activities, hobbies, games, etc.</w:t>
      </w:r>
    </w:p>
    <w:p w14:paraId="1E241DDC" w14:textId="3F544C71" w:rsidR="00397FCD" w:rsidRDefault="00397FCD" w:rsidP="00397F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Para Support</w:t>
      </w:r>
    </w:p>
    <w:p w14:paraId="20056903" w14:textId="3A3EF912" w:rsidR="00397FCD" w:rsidRDefault="00397FCD" w:rsidP="0039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support will be determined based on the number of students and the needs within the classroom.</w:t>
      </w:r>
    </w:p>
    <w:p w14:paraId="1CE5F22C" w14:textId="23CA31C0" w:rsidR="00397FCD" w:rsidRDefault="00397FCD" w:rsidP="00397F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Inclusion</w:t>
      </w:r>
    </w:p>
    <w:p w14:paraId="1EE347E0" w14:textId="188B4CD1" w:rsidR="00397FCD" w:rsidRDefault="00397FCD" w:rsidP="00397F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While students are placed in the low-incidence classroom they will have limited contact with their non-disabled peers.  This contact may include PE, library, art, music, lunch recess, classroom parties and limited time in the general education classroom as determined appropriate by the IEP team.  </w:t>
      </w:r>
      <w:r>
        <w:rPr>
          <w:rFonts w:ascii="Times New Roman" w:hAnsi="Times New Roman" w:cs="Times New Roman"/>
          <w:sz w:val="24"/>
          <w:szCs w:val="24"/>
          <w:u w:val="single"/>
        </w:rPr>
        <w:t>Students with needs that can be met in an inclusive placement should not be considered for a Low Incidence placement as it is likely too restrictive.</w:t>
      </w:r>
    </w:p>
    <w:p w14:paraId="330E99E9" w14:textId="59DC4DA0" w:rsidR="00397FCD" w:rsidRDefault="00397FCD" w:rsidP="00397F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7FCD">
        <w:rPr>
          <w:rFonts w:ascii="Times New Roman" w:hAnsi="Times New Roman" w:cs="Times New Roman"/>
          <w:b/>
          <w:bCs/>
          <w:sz w:val="24"/>
          <w:szCs w:val="24"/>
        </w:rPr>
        <w:t>School Calendar</w:t>
      </w:r>
    </w:p>
    <w:p w14:paraId="739AD07C" w14:textId="22C3272C" w:rsidR="00397FCD" w:rsidRDefault="00397FCD" w:rsidP="0039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follow the school calendar set forth by the district where the program is placed.  If for any reason our school calendars</w:t>
      </w:r>
      <w:r w:rsidR="003055BB">
        <w:rPr>
          <w:rFonts w:ascii="Times New Roman" w:hAnsi="Times New Roman" w:cs="Times New Roman"/>
          <w:sz w:val="24"/>
          <w:szCs w:val="24"/>
        </w:rPr>
        <w:t xml:space="preserve"> do not coincide with their home district, we will let parents and other pertinent school officials know in advance to avoid confusion.</w:t>
      </w:r>
    </w:p>
    <w:p w14:paraId="33C27616" w14:textId="7AB0E771" w:rsidR="003055BB" w:rsidRDefault="003055BB" w:rsidP="00397F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Re-evaluations</w:t>
      </w:r>
    </w:p>
    <w:p w14:paraId="6FABD53B" w14:textId="67B8FBA1" w:rsidR="003055BB" w:rsidRDefault="003055BB" w:rsidP="0039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Re-evaluations will be conducted by the school psychologist from the student’s home district.</w:t>
      </w:r>
    </w:p>
    <w:p w14:paraId="3E9A3EFB" w14:textId="72E3F9EA" w:rsidR="003055BB" w:rsidRDefault="003055BB" w:rsidP="00397F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</w:t>
      </w:r>
    </w:p>
    <w:p w14:paraId="687625F1" w14:textId="360D8272" w:rsidR="00DA5974" w:rsidRPr="00DA5974" w:rsidRDefault="003055BB" w:rsidP="00DA5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 representative for each student will be their home district principal.</w:t>
      </w:r>
    </w:p>
    <w:sectPr w:rsidR="00DA5974" w:rsidRPr="00DA5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C6320"/>
    <w:multiLevelType w:val="hybridMultilevel"/>
    <w:tmpl w:val="137A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F2"/>
    <w:rsid w:val="001B0D52"/>
    <w:rsid w:val="002B5A9C"/>
    <w:rsid w:val="003055BB"/>
    <w:rsid w:val="00397FCD"/>
    <w:rsid w:val="004118F2"/>
    <w:rsid w:val="00495283"/>
    <w:rsid w:val="008669D8"/>
    <w:rsid w:val="00964894"/>
    <w:rsid w:val="00D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F820"/>
  <w15:chartTrackingRefBased/>
  <w15:docId w15:val="{BB1C8C58-E8FE-424F-BEF7-15E73D63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Davidson</dc:creator>
  <cp:keywords/>
  <dc:description/>
  <cp:lastModifiedBy>Kathy Davidson</cp:lastModifiedBy>
  <cp:revision>4</cp:revision>
  <dcterms:created xsi:type="dcterms:W3CDTF">2019-10-01T15:19:00Z</dcterms:created>
  <dcterms:modified xsi:type="dcterms:W3CDTF">2019-10-01T15:43:00Z</dcterms:modified>
</cp:coreProperties>
</file>